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"/>
        <w:ind w:hanging="0" w:start="0"/>
        <w:jc w:val="both"/>
        <w:rPr/>
      </w:pPr>
      <w:r>
        <w:rPr/>
      </w:r>
    </w:p>
    <w:p>
      <w:pPr>
        <w:pStyle w:val="Title"/>
        <w:jc w:val="center"/>
        <w:rPr>
          <w:sz w:val="42"/>
          <w:szCs w:val="42"/>
        </w:rPr>
      </w:pPr>
      <w:r>
        <w:rPr>
          <w:rFonts w:ascii="Arial" w:hAnsi="Arial"/>
          <w:sz w:val="42"/>
          <w:szCs w:val="42"/>
        </w:rPr>
        <w:t xml:space="preserve">Opis przedmiotu zamówienia – </w:t>
        <w:br/>
      </w:r>
      <w:r>
        <w:rPr>
          <w:rFonts w:ascii="Arial" w:hAnsi="Arial"/>
          <w:sz w:val="42"/>
          <w:szCs w:val="42"/>
          <w:u w:val="single"/>
        </w:rPr>
        <w:t>Część 3</w:t>
      </w:r>
    </w:p>
    <w:p>
      <w:pPr>
        <w:pStyle w:val="List"/>
        <w:ind w:hanging="0" w:start="0"/>
        <w:jc w:val="both"/>
        <w:rPr/>
      </w:pPr>
      <w:r>
        <w:rPr/>
      </w:r>
    </w:p>
    <w:p>
      <w:pPr>
        <w:pStyle w:val="List"/>
        <w:ind w:hanging="0" w:start="0"/>
        <w:jc w:val="both"/>
        <w:rPr/>
      </w:pPr>
      <w:r>
        <w:rPr/>
        <w:t>Wykonawca zobowiązany jest zaoferować w poszczególnych pozycjach wszystkie urządzenia tego samego modelu.</w:t>
      </w:r>
    </w:p>
    <w:p>
      <w:pPr>
        <w:pStyle w:val="List"/>
        <w:ind w:hanging="0" w:start="0"/>
        <w:jc w:val="both"/>
        <w:rPr/>
      </w:pPr>
      <w:r>
        <w:rPr/>
        <w:t>Ilekroć w treści opisu przedmiotu zamówienia przedmiot został opisany przez wskazanie znaków towarowych, patentów lub pochodzenia, źródła lub szczególnego procesu, Zamawiający dopuszcza zaoferowanie przez Wykonawcę rozwiązania równoważnego.</w:t>
      </w:r>
    </w:p>
    <w:p>
      <w:pPr>
        <w:pStyle w:val="List"/>
        <w:ind w:hanging="0" w:start="0"/>
        <w:jc w:val="both"/>
        <w:rPr>
          <w:bCs/>
          <w:lang w:bidi="pl-PL"/>
        </w:rPr>
      </w:pPr>
      <w:r>
        <w:rPr>
          <w:bCs/>
          <w:lang w:bidi="pl-PL"/>
        </w:rPr>
        <w:t xml:space="preserve">Podane w opisach nazwy własne nie mają na celu naruszenia art. 99 ust. 4 ustawy PZP, a mają jedynie za zadanie sprecyzować oczekiwania techniczne, jakościowe, funkcjonalne i estetyczne  Zamawiającego.  Zamawiający dopuszcza  rozwiązania równoważne pod warunkiem spełniania tego  samego poziomu jakościowego,  merytorycznego oraz gwarantujące taką samą funkcjonalność jak produkty opisane w przedmiocie zamówienia. </w:t>
      </w:r>
    </w:p>
    <w:p>
      <w:pPr>
        <w:pStyle w:val="List"/>
        <w:ind w:hanging="0" w:start="0"/>
        <w:jc w:val="both"/>
        <w:rPr/>
      </w:pPr>
      <w:r>
        <w:rPr/>
      </w:r>
    </w:p>
    <w:p>
      <w:pPr>
        <w:pStyle w:val="List"/>
        <w:ind w:hanging="0" w:start="0"/>
        <w:jc w:val="both"/>
        <w:rPr/>
      </w:pPr>
      <w:r>
        <w:rPr/>
        <w:t xml:space="preserve">Wykonawca, który powołuje się na rozwiązania równoważne do opisywanych przez Zamawiającego, jest zobowiązany wykazać, że oferowany przez niego sprzęt/oprogramowanie spełnia wymagania określone przez Zamawiającego. Równoważność pod względem parametrów technicznych, użytkowych lub eksploatacyjnych ma w szczególności zapewnić uzyskanie parametrów technicznych nie gorszych od przyjętych przez Zamawiającego.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Wykonawca zobowiązany jest wpisać: model, typ urządzenia, nazwę producenta, nazwę producenta zastosowanych podzespołów oraz inne wymagane parametry ich liczbę i wielkość.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>Uwaga!</w:t>
      </w:r>
    </w:p>
    <w:p>
      <w:pPr>
        <w:pStyle w:val="Normal"/>
        <w:spacing w:lineRule="auto" w:line="240" w:before="0" w:after="0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  <w:t xml:space="preserve">W przypadku zaoferowania sprzętu o parametrach wskazanych przez Zamawiającego </w:t>
      </w:r>
      <w:r>
        <w:rPr>
          <w:rFonts w:cs="Arial" w:ascii="Arial" w:hAnsi="Arial"/>
          <w:b/>
          <w:bCs/>
          <w:sz w:val="24"/>
          <w:szCs w:val="24"/>
          <w:u w:val="single"/>
        </w:rPr>
        <w:t>należy zaznaczyć</w:t>
      </w:r>
      <w:r>
        <w:rPr>
          <w:rFonts w:cs="Arial" w:ascii="Arial" w:hAnsi="Arial"/>
          <w:b/>
          <w:bCs/>
          <w:sz w:val="24"/>
          <w:szCs w:val="24"/>
        </w:rPr>
        <w:t xml:space="preserve"> właściwe słowo „spełnia” lub „nie spełnia”. </w:t>
      </w:r>
    </w:p>
    <w:p>
      <w:pPr>
        <w:pStyle w:val="Normal"/>
        <w:spacing w:lineRule="auto" w:line="240" w:before="0" w:after="0"/>
        <w:jc w:val="both"/>
        <w:rPr>
          <w:rFonts w:ascii="Arial" w:hAnsi="Arial"/>
          <w:b/>
          <w:bCs/>
          <w:sz w:val="24"/>
          <w:szCs w:val="24"/>
        </w:rPr>
      </w:pPr>
      <w:r>
        <w:rPr>
          <w:rFonts w:eastAsia="Times New Roman" w:ascii="Arial" w:hAnsi="Arial"/>
          <w:b/>
          <w:bCs/>
          <w:sz w:val="24"/>
          <w:szCs w:val="24"/>
        </w:rPr>
        <w:t xml:space="preserve">W przypadku żądania wykazania wpisu określonych  parametrów, należy wpisać oferowane konkretne, rzeczowe wartości techniczno-użytkowe. 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/>
          <w:b/>
          <w:bCs/>
          <w:sz w:val="24"/>
          <w:szCs w:val="24"/>
        </w:rPr>
      </w:pPr>
      <w:r>
        <w:rPr>
          <w:rFonts w:eastAsia="Times New Roman" w:ascii="Arial" w:hAnsi="Arial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W przypadku zaoferowania sprzętu z dodatkowymi modułami rozszerzającymi funkcjonalności urządzenia, Wykonawca obok nazwy urządzenia wskaże także nazwy modułów rozszerzających.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Arial" w:ascii="Arial" w:hAnsi="Arial"/>
          <w:b/>
          <w:bCs/>
          <w:color w:val="000000"/>
          <w:sz w:val="24"/>
          <w:szCs w:val="24"/>
        </w:rPr>
        <w:t>Zamawiający zaznacza, że wszelkie parametry są określone jako m</w:t>
      </w:r>
      <w:r>
        <w:rPr>
          <w:rFonts w:ascii="Arial" w:hAnsi="Arial"/>
          <w:b/>
          <w:bCs/>
          <w:color w:val="000000"/>
          <w:sz w:val="24"/>
          <w:szCs w:val="24"/>
        </w:rPr>
        <w:t xml:space="preserve">inimalne parametry jakościowe, techniczne, wydajnościowe, funkcjonalne i użytkowe. </w:t>
      </w:r>
    </w:p>
    <w:p>
      <w:pPr>
        <w:pStyle w:val="Normal"/>
        <w:jc w:val="both"/>
        <w:rPr>
          <w:rFonts w:eastAsia="Times New Roman" w:cs="Arial"/>
          <w:bCs/>
          <w:lang w:bidi="pl-PL"/>
        </w:rPr>
      </w:pPr>
      <w:r>
        <w:rPr>
          <w:rFonts w:eastAsia="Times New Roman" w:cs="Arial"/>
          <w:bCs/>
          <w:lang w:bidi="pl-PL"/>
        </w:rPr>
      </w:r>
    </w:p>
    <w:p>
      <w:pPr>
        <w:pStyle w:val="Normal"/>
        <w:rPr/>
      </w:pPr>
      <w:r>
        <w:rPr>
          <w:rFonts w:ascii="Arial" w:hAnsi="Arial"/>
          <w:sz w:val="24"/>
          <w:szCs w:val="24"/>
        </w:rPr>
        <w:t xml:space="preserve">Oferowane produkty muszą posiadać </w:t>
      </w:r>
      <w:r>
        <w:rPr>
          <w:rFonts w:ascii="Arial" w:hAnsi="Arial"/>
          <w:sz w:val="24"/>
          <w:szCs w:val="24"/>
          <w:u w:val="single"/>
        </w:rPr>
        <w:t xml:space="preserve">deklarację zgodności z dyrektywą RoHS. </w:t>
      </w:r>
      <w:r>
        <w:br w:type="page"/>
      </w:r>
    </w:p>
    <w:p>
      <w:pPr>
        <w:pStyle w:val="Heading1"/>
        <w:spacing w:before="0" w:after="0"/>
        <w:rPr/>
      </w:pPr>
      <w:r>
        <w:rPr>
          <w:rFonts w:ascii="Arial" w:hAnsi="Arial"/>
          <w:b/>
          <w:color w:val="5983B0"/>
        </w:rPr>
        <w:t xml:space="preserve">Poz. 1. </w:t>
      </w:r>
      <w:r>
        <w:rPr>
          <w:rStyle w:val="Hyperlink"/>
          <w:rFonts w:ascii="Arial" w:hAnsi="Arial"/>
          <w:b/>
          <w:color w:val="5983B0"/>
          <w:u w:val="none"/>
        </w:rPr>
        <w:t xml:space="preserve">ZESTAW KOMPUTEROWY Z MONITOREM DLA FOTOGRAFA - </w:t>
      </w:r>
      <w:r>
        <w:rPr>
          <w:rFonts w:ascii="Arial" w:hAnsi="Arial"/>
          <w:color w:val="5983B0"/>
        </w:rPr>
        <w:t>2 SZTUKI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10750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04"/>
        <w:gridCol w:w="5022"/>
        <w:gridCol w:w="5024"/>
      </w:tblGrid>
      <w:tr>
        <w:trPr>
          <w:trHeight w:val="1127" w:hRule="atLeast"/>
        </w:trPr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eastAsia="Calibri" w:cs="Arial"/>
                <w:b/>
              </w:rPr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Parametry wymagane przez Zamawiającego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b/>
                <w:sz w:val="20"/>
                <w:szCs w:val="20"/>
                <w:u w:val="single"/>
              </w:rPr>
            </w:pPr>
            <w:r>
              <w:rPr>
                <w:rFonts w:eastAsia="Calibri" w:cs="Arial" w:ascii="Arial" w:hAnsi="Arial"/>
                <w:b/>
                <w:sz w:val="20"/>
                <w:szCs w:val="20"/>
                <w:u w:val="single"/>
              </w:rPr>
              <w:t>Oferowane przez Wykonawcę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b/>
                <w:bCs/>
                <w:kern w:val="2"/>
                <w:sz w:val="20"/>
                <w:szCs w:val="20"/>
                <w:u w:val="single"/>
                <w:lang w:bidi="hi-IN"/>
              </w:rPr>
            </w:pPr>
            <w:r>
              <w:rPr>
                <w:rFonts w:eastAsia="Calibri" w:cs="Arial" w:ascii="Arial" w:hAnsi="Arial"/>
                <w:b/>
                <w:bCs/>
                <w:kern w:val="2"/>
                <w:sz w:val="20"/>
                <w:szCs w:val="20"/>
                <w:u w:val="single"/>
                <w:lang w:bidi="hi-IN"/>
              </w:rPr>
              <w:t xml:space="preserve"> </w:t>
            </w:r>
            <w:r>
              <w:rPr>
                <w:rFonts w:eastAsia="Calibri" w:cs="Arial" w:ascii="Arial" w:hAnsi="Arial"/>
                <w:b/>
                <w:bCs/>
                <w:kern w:val="2"/>
                <w:sz w:val="20"/>
                <w:szCs w:val="20"/>
                <w:u w:val="single"/>
                <w:lang w:bidi="hi-IN"/>
              </w:rPr>
              <w:t>(wypełnia Wykonawca)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Wykonawca zobowiązany jest wskazać, w każdym wymaganym polu: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 w:ascii="Arial" w:hAnsi="Arial"/>
                <w:b/>
                <w:bCs/>
                <w:sz w:val="20"/>
                <w:szCs w:val="20"/>
              </w:rPr>
              <w:t>nazwę oferowanego urządzenia,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 w:ascii="Arial" w:hAnsi="Arial"/>
                <w:b/>
                <w:bCs/>
                <w:sz w:val="20"/>
                <w:szCs w:val="20"/>
              </w:rPr>
              <w:t>nazwę producenta,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Arial" w:hAnsi="Arial"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 w:ascii="Arial" w:hAnsi="Arial"/>
                <w:b/>
                <w:bCs/>
                <w:sz w:val="20"/>
                <w:szCs w:val="20"/>
              </w:rPr>
              <w:t>typ,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/>
            </w:pPr>
            <w:r>
              <w:rPr>
                <w:rFonts w:eastAsia="Calibri" w:cs="Arial" w:ascii="Arial" w:hAnsi="Arial"/>
                <w:b/>
                <w:bCs/>
                <w:sz w:val="20"/>
                <w:szCs w:val="20"/>
              </w:rPr>
              <w:t>mo</w:t>
            </w:r>
            <w:r>
              <w:rPr>
                <w:rFonts w:eastAsia="Calibri" w:cs="Arial" w:ascii="Arial" w:hAnsi="Arial"/>
                <w:b/>
                <w:bCs/>
                <w:color w:val="000000"/>
                <w:sz w:val="20"/>
                <w:szCs w:val="20"/>
              </w:rPr>
              <w:t>del oznaczenia</w:t>
            </w:r>
          </w:p>
        </w:tc>
      </w:tr>
      <w:tr>
        <w:trPr>
          <w:trHeight w:val="567" w:hRule="atLeast"/>
        </w:trPr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DEDED" w:themeFill="accent3" w:themeFillTint="33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DEDED" w:themeFill="accent3" w:themeFillTint="33" w:val="clear"/>
            <w:vAlign w:val="center"/>
          </w:tcPr>
          <w:p>
            <w:pPr>
              <w:pStyle w:val="Normal"/>
              <w:widowControl w:val="false"/>
              <w:tabs>
                <w:tab w:val="clear" w:pos="284"/>
                <w:tab w:val="left" w:pos="180" w:leader="none"/>
              </w:tabs>
              <w:spacing w:lineRule="auto" w:line="240" w:before="0" w:after="0"/>
              <w:jc w:val="center"/>
              <w:rPr>
                <w:rFonts w:eastAsia="Calibri" w:cs="Arial"/>
                <w:b/>
                <w:bCs/>
                <w:color w:val="000000"/>
              </w:rPr>
            </w:pPr>
            <w:r>
              <w:rPr>
                <w:rFonts w:eastAsia="Calibri" w:cs="Arial" w:ascii="Arial" w:hAnsi="Arial"/>
                <w:b/>
                <w:bCs/>
                <w:color w:val="000000"/>
                <w:sz w:val="20"/>
                <w:szCs w:val="20"/>
              </w:rPr>
              <w:t>Komputer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EDEDED" w:themeFill="accent3" w:themeFillTint="33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b/>
                <w:sz w:val="20"/>
                <w:szCs w:val="20"/>
              </w:rPr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</w:r>
            <w:bookmarkStart w:id="0" w:name="_Hlk221052089"/>
            <w:bookmarkStart w:id="1" w:name="_Hlk221052089"/>
            <w:bookmarkEnd w:id="1"/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284"/>
                <w:tab w:val="left" w:pos="310" w:leader="none"/>
              </w:tabs>
              <w:spacing w:lineRule="auto" w:line="240" w:before="0" w:after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Komputer stacjonarny z monitorem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284"/>
                <w:tab w:val="left" w:pos="310" w:leader="none"/>
              </w:tabs>
              <w:spacing w:lineRule="auto" w:line="240" w:before="0" w:after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start="3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Procesor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Procesor 24-rdzeniowy ze zintegrowaną grafiką, zaprojektowany do pracy w komputerach klasy x86. Wbudowana technologia wykorzystująca zintegrowaną jednostkę przetwarzania neuronowego do przyspieszania zadań związanych ze sztuczną inteligencją. Osiągający w teście PassMark CPU Mark średni wynik nie gorszy niż 67 000 punktów (wynik średni na dzień nie wcześniejszy niż dzień opublikowania ogłoszenia).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sz w:val="20"/>
                <w:szCs w:val="20"/>
                <w:shd w:fill="B2B2B2" w:val="clear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B2B2B2" w:val="clear"/>
              </w:rPr>
              <w:t>Do oferty należy załączyć wydruk z opublikowanym wynikiem.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284"/>
                <w:tab w:val="left" w:pos="310" w:leader="none"/>
              </w:tabs>
              <w:spacing w:lineRule="auto" w:line="240" w:before="0" w:after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Cooler CPU: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eastAsia="Calibri" w:cs="Arial"/>
                <w:color w:val="000000"/>
              </w:rPr>
            </w:pPr>
            <w:r>
              <w:rPr>
                <w:rFonts w:eastAsia="Calibri" w:cs="Arial" w:ascii="Arial" w:hAnsi="Arial"/>
                <w:color w:val="000000"/>
                <w:sz w:val="20"/>
                <w:szCs w:val="20"/>
              </w:rPr>
              <w:t>Powietrzny, TDP min. 250W, zgodny z socket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eastAsia="Calibri" w:cs="Arial"/>
                <w:color w:val="000000"/>
              </w:rPr>
            </w:pPr>
            <w:r>
              <w:rPr>
                <w:rFonts w:eastAsia="Calibri" w:cs="Arial" w:ascii="Arial" w:hAnsi="Arial"/>
                <w:color w:val="000000"/>
                <w:sz w:val="20"/>
                <w:szCs w:val="20"/>
              </w:rPr>
              <w:t>zaproponowanego CPU, dwa wentylatory chłodzące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eastAsia="Calibri" w:cs="Arial"/>
                <w:color w:val="000000"/>
              </w:rPr>
            </w:pPr>
            <w:r>
              <w:rPr>
                <w:rFonts w:eastAsia="Calibri" w:cs="Arial" w:ascii="Arial" w:hAnsi="Arial"/>
                <w:color w:val="000000"/>
                <w:sz w:val="20"/>
                <w:szCs w:val="20"/>
              </w:rPr>
              <w:t>(min.120mm), materiał podstawy: miedź i aluminium,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color w:val="000000"/>
                <w:sz w:val="20"/>
                <w:szCs w:val="20"/>
              </w:rPr>
              <w:t>montaż pionowy, min. 6</w:t>
            </w:r>
            <w:r>
              <w:rPr>
                <w:rFonts w:eastAsia="Calibri" w:cs="Arial" w:ascii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eastAsia="Calibri" w:cs="Arial" w:ascii="Arial" w:hAnsi="Arial"/>
                <w:color w:val="000000"/>
                <w:sz w:val="20"/>
                <w:szCs w:val="20"/>
              </w:rPr>
              <w:t>ciepłowodów o średnicy min.6mm, MTBF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eastAsia="Calibri" w:cs="Arial" w:ascii="Arial" w:hAnsi="Arial"/>
                <w:color w:val="000000"/>
                <w:sz w:val="20"/>
                <w:szCs w:val="20"/>
              </w:rPr>
              <w:t>min.80000h, maksymalny poziom hałasu przy pełnym obciążeniu 35 dB(A)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</w:tr>
      <w:tr>
        <w:trPr>
          <w:trHeight w:val="1355" w:hRule="atLeast"/>
        </w:trPr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284"/>
                <w:tab w:val="left" w:pos="310" w:leader="none"/>
              </w:tabs>
              <w:spacing w:lineRule="auto" w:line="240" w:before="0" w:after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Pamięć RAM: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</w:rPr>
              <w:t xml:space="preserve">- </w:t>
            </w:r>
            <w:r>
              <w:rPr>
                <w:rFonts w:cs="Arial" w:ascii="Arial" w:hAnsi="Arial"/>
                <w:sz w:val="20"/>
                <w:szCs w:val="20"/>
              </w:rPr>
              <w:t>Min. 128 GB min 6400MHz maks. DDR5 CUDIMM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="0" w:after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Dysk 1: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- 1 x min. 1000 GB SSD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Interfejs M.2 PCIe x4 Gen 5 NVMe oparty o kości TLC,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MLC lub SLC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Pamięć podręczna 1GB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Sekwencyjny odczyt wg producenta do 14000 MB/s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Szybkość zapisu sekwencyjnego  wg producenta do130000 MB/s,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Odczyt losowy do 1800000 IOPS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Zapis losowy do 2550000 IOPS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TBW min. 600TB, MTBF min. 1,5M godz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Dysk 2: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- 1 x min. 2000 GB SSD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Interfejs M.2 PCIe x4 Gen 4 NVMe oparty o kości TLC,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MLC lub SLC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Pamięć podręczna 2GB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Sekwencyjny odczyt wg producenta do 7400 MB/s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Szybkość zapisu sekwencyjnego  wg producenta do 6880 MB/s,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Odczyt losowy do 1380000 IOPS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Zapis losowy do 1500000 IOPS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TBW min. 600TB, MTBF min. 1,5M godz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color w:val="000000"/>
                <w:sz w:val="20"/>
                <w:szCs w:val="20"/>
              </w:rPr>
            </w:pPr>
            <w:r>
              <w:rPr>
                <w:rFonts w:eastAsia="Calibri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  <w:u w:val="single"/>
              </w:rPr>
              <w:t>Dysk 1</w:t>
            </w:r>
            <w:r>
              <w:rPr>
                <w:rFonts w:cs="Arial" w:ascii="Arial" w:hAnsi="Arial"/>
                <w:sz w:val="20"/>
                <w:szCs w:val="20"/>
                <w:u w:val="single"/>
              </w:rPr>
              <w:t xml:space="preserve"> </w:t>
            </w:r>
            <w:r>
              <w:rPr>
                <w:rFonts w:eastAsia="Calibri" w:cs="Arial" w:ascii="Arial" w:hAnsi="Arial"/>
                <w:sz w:val="20"/>
                <w:szCs w:val="20"/>
                <w:u w:val="single"/>
              </w:rPr>
              <w:t>SSD: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  <w:shd w:fill="FFFF00" w:val="clear"/>
              </w:rPr>
            </w:pPr>
            <w:r>
              <w:rPr>
                <w:rFonts w:eastAsia="Calibri" w:cs="Arial" w:ascii="Arial" w:hAnsi="Arial"/>
                <w:sz w:val="20"/>
                <w:szCs w:val="20"/>
                <w:shd w:fill="FFFF00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shd w:fill="FFFF00" w:val="clear"/>
              </w:rPr>
            </w:pPr>
            <w:r>
              <w:rPr>
                <w:shd w:fill="FFFF00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shd w:fill="FFFF00" w:val="clear"/>
              </w:rPr>
            </w:pPr>
            <w:r>
              <w:rPr>
                <w:shd w:fill="FFFF00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shd w:fill="FFFF00" w:val="clear"/>
              </w:rPr>
            </w:pPr>
            <w:r>
              <w:rPr>
                <w:shd w:fill="FFFF00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shd w:fill="FFFF00" w:val="clear"/>
              </w:rPr>
            </w:pPr>
            <w:r>
              <w:rPr>
                <w:shd w:fill="FFFF00" w:val="clear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  <w:u w:val="single"/>
              </w:rPr>
            </w:pPr>
            <w:r>
              <w:rPr>
                <w:rFonts w:eastAsia="Calibri" w:cs="Arial" w:ascii="Arial" w:hAnsi="Arial"/>
                <w:sz w:val="20"/>
                <w:szCs w:val="20"/>
                <w:u w:val="single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eastAsia="Calibri" w:cs="Arial"/>
                <w:u w:val="single"/>
              </w:rPr>
            </w:pPr>
            <w:r>
              <w:rPr>
                <w:rFonts w:eastAsia="Calibri" w:cs="Arial" w:ascii="Arial" w:hAnsi="Arial"/>
                <w:sz w:val="20"/>
                <w:szCs w:val="20"/>
                <w:u w:val="single"/>
              </w:rPr>
              <w:t>Dysk 2 SSD: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start="30"/>
              <w:rPr>
                <w:rFonts w:cs="Arial"/>
                <w:b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Karta graficzna: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Dedykowana karta graficzna, wyposażona w nowoczesny układ GPU klasy high-end, z magistralą danych min. 256-bit, rdzeniem graficznym taktowanym min. 2600 MHz (tryb Boost), posiadająca wyjścia obrazu: min. 1× HDMI, min. 3× DisplayPort, z pamięcią graficzną typu GDDR7 o pojemności min. 16 GB, o przepustowości min. 28 Gbps.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Osiągająca w teście PassMark G3D Mark min. 35 000 pkt (wynik średni, na dzień nie wcześniejszy niż dzień opublikowania ogłoszenia).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b/>
                <w:sz w:val="20"/>
                <w:szCs w:val="20"/>
                <w:shd w:fill="B2B2B2" w:val="clear"/>
              </w:rPr>
            </w:pPr>
            <w:r>
              <w:rPr>
                <w:rFonts w:cs="Arial" w:ascii="Arial" w:hAnsi="Arial"/>
                <w:b/>
                <w:sz w:val="20"/>
                <w:szCs w:val="20"/>
                <w:shd w:fill="B2B2B2" w:val="clear"/>
              </w:rPr>
              <w:t>Do oferty należy załączyć wydruk z opublikowanym wynikiem.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  <w:b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Płyta główna: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Zintegrowane (wbudowane fabrycznie) podzespoły m.in.: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- Karta dźwiękowa 7.1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- dwie karty sieciowe zintegrowane: 10Gb + 2,5Gb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- WiFi 7 + BT 5.4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Złącza rozszerzeń: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Arial" w:ascii="Arial" w:hAnsi="Arial"/>
                <w:sz w:val="20"/>
                <w:szCs w:val="20"/>
              </w:rPr>
              <w:t>Min. 2 x PCIe x16 5.0</w:t>
            </w:r>
          </w:p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Arial" w:ascii="Arial" w:hAnsi="Arial"/>
                <w:sz w:val="20"/>
                <w:szCs w:val="20"/>
              </w:rPr>
              <w:t>Min.1  x PCIe x16 4.0</w:t>
            </w:r>
            <w:bookmarkStart w:id="2" w:name="_GoBack"/>
            <w:bookmarkEnd w:id="2"/>
          </w:p>
          <w:p>
            <w:pPr>
              <w:pStyle w:val="Normal"/>
              <w:widowControl w:val="false"/>
              <w:spacing w:lineRule="auto" w:line="240" w:before="0" w:after="0"/>
              <w:rPr>
                <w:color w:val="FF4000"/>
              </w:rPr>
            </w:pPr>
            <w:r>
              <w:rPr>
                <w:rFonts w:cs="Arial" w:ascii="Arial" w:hAnsi="Arial"/>
                <w:sz w:val="20"/>
                <w:szCs w:val="20"/>
              </w:rPr>
              <w:t>Min. 5 x M.2</w:t>
            </w:r>
          </w:p>
          <w:p>
            <w:pPr>
              <w:pStyle w:val="Normal"/>
              <w:widowControl w:val="false"/>
              <w:spacing w:lineRule="auto" w:line="240" w:before="0" w:after="0"/>
              <w:ind w:start="3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Złącza SATA/M.2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Min. 4 x SATA III  (wsparcie dla RAID 0,1,10)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Min. 1 x M.2@PCIe 5.0 x4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Min. 4 x M.2@PCIex 4.0 x4 </w:t>
            </w:r>
          </w:p>
          <w:p>
            <w:pPr>
              <w:pStyle w:val="Normal"/>
              <w:widowControl w:val="false"/>
              <w:spacing w:lineRule="auto" w:line="240" w:before="0" w:after="0"/>
              <w:ind w:start="3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Złącza zewnętrzne tylny panel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3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DP - 1 szt., HDMI - 1 szt.,</w:t>
            </w:r>
          </w:p>
          <w:p>
            <w:pPr>
              <w:pStyle w:val="Normal"/>
              <w:widowControl w:val="false"/>
              <w:spacing w:lineRule="auto" w:line="240" w:before="0" w:after="0"/>
              <w:ind w:start="3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RJ45 </w:t>
            </w:r>
            <w:r>
              <w:rPr>
                <w:rFonts w:cs="Arial" w:ascii="Arial" w:hAnsi="Arial"/>
                <w:sz w:val="20"/>
                <w:szCs w:val="20"/>
                <w:lang w:val="de-AT"/>
              </w:rPr>
              <w:t>(LAN) - 2 szt., USB 3.2 Gen.2 Type – A – min. 6 szt.,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  <w:lang w:val="de-AT"/>
              </w:rPr>
            </w:pPr>
            <w:r>
              <w:rPr>
                <w:rFonts w:cs="Arial" w:ascii="Arial" w:hAnsi="Arial"/>
                <w:sz w:val="20"/>
                <w:szCs w:val="20"/>
                <w:lang w:val="de-AT"/>
              </w:rPr>
              <w:t>USB 2.0 – min. 1 szt., Thunderbolt 4 – min. 1 szt., Thunderbolt 5 – min. 2 szt.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Zasilacz: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Arial Narrow" w:cs="Arial" w:ascii="Arial" w:hAnsi="Arial"/>
                <w:sz w:val="20"/>
                <w:szCs w:val="20"/>
              </w:rPr>
              <w:t xml:space="preserve">Modularny, </w:t>
            </w:r>
            <w:r>
              <w:rPr>
                <w:rFonts w:cs="Arial" w:ascii="Arial" w:hAnsi="Arial"/>
                <w:sz w:val="20"/>
                <w:szCs w:val="20"/>
              </w:rPr>
              <w:t>min. 1200W, chłodzenie aktywne wentylator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min. 13 cm z automatyczną regulacją obrotów.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Sprawność potwierdzona cert. 80PLUS Platinum,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PFC aktywne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Zabezpieczenia: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hanging="0" w:start="455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OCP / Zabezpieczenie nadprądowe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hanging="0" w:start="455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OTP / Zabezpieczenie temperaturowe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hanging="0" w:start="455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OVP  / Zabezpieczenie nadnapięciowe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hanging="0" w:start="455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SCP  / Zabezpieczenie przeciwzwarciowe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hanging="0" w:start="455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OPP / Zabezpieczenie przeciw przeciążeniowe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hanging="0" w:start="455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UVP   / Zabezpieczenie przed zbyt niskim napięciem</w:t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ind w:hanging="0" w:start="455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SIP / Zabezpieczenie przed przepięciami i prądami udarowymi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Dopuszczalne obciążenie linii 12V: 1200W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Złącza SATA: min. 9 szt.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jc w:val="center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MOLEX: min. 2 szt.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NIE SPEŁNIA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b/>
                <w:color w:val="00000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Obudowa: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 Ilość zatok: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Arial Narrow" w:cs="Arial" w:ascii="Arial" w:hAnsi="Arial"/>
                <w:color w:val="000000"/>
                <w:sz w:val="20"/>
                <w:szCs w:val="20"/>
              </w:rPr>
              <w:t xml:space="preserve">  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wewnętrzne:  2 x 2,5/3,5”    2 x 2,5″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- sloty rozszerzeń min. 7 szt.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Wentylatory: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Przód: zainstalowane 3 x 120 mm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Tył: miejsce na 1x 120 mm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Panel górny: miejsce na 2x 140mm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Filtry antykurzowe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Porty na panelu przednim (góra panelu):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ascii="Arial" w:hAnsi="Arial"/>
                <w:sz w:val="20"/>
                <w:szCs w:val="20"/>
                <w:lang w:val="pt-BR"/>
              </w:rPr>
            </w:pPr>
            <w:r>
              <w:rPr>
                <w:rFonts w:eastAsia="Arial Narrow" w:cs="Arial" w:ascii="Arial" w:hAnsi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eastAsia="Arial Narrow" w:cs="Arial" w:ascii="Arial" w:hAnsi="Arial"/>
                <w:color w:val="000000"/>
                <w:sz w:val="20"/>
                <w:szCs w:val="20"/>
                <w:lang w:val="pt-BR"/>
              </w:rPr>
              <w:t>2</w:t>
            </w:r>
            <w:r>
              <w:rPr>
                <w:rFonts w:cs="Arial" w:ascii="Arial" w:hAnsi="Arial"/>
                <w:color w:val="000000"/>
                <w:sz w:val="20"/>
                <w:szCs w:val="20"/>
                <w:lang w:val="pt-BR"/>
              </w:rPr>
              <w:t xml:space="preserve"> x USB-A 3.2 + 1 x USB-C 3.2 Gen. 2x2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Arial Narrow" w:cs="Arial" w:ascii="Arial" w:hAnsi="Arial"/>
                <w:color w:val="000000"/>
                <w:sz w:val="20"/>
                <w:szCs w:val="20"/>
                <w:lang w:val="pt-BR"/>
              </w:rPr>
              <w:t xml:space="preserve">    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1 x Słuchawki/Głośnik (HD audio)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ascii="Arial" w:hAnsi="Arial"/>
                <w:sz w:val="20"/>
                <w:szCs w:val="20"/>
              </w:rPr>
            </w:pPr>
            <w:r>
              <w:rPr>
                <w:rFonts w:eastAsia="Arial Narrow" w:cs="Arial" w:ascii="Arial" w:hAnsi="Arial"/>
                <w:color w:val="000000"/>
                <w:sz w:val="20"/>
                <w:szCs w:val="20"/>
              </w:rPr>
              <w:t xml:space="preserve">    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1 x Mikrofon (HD audio)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Maks. długość karty graficznej     370 mm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Maks. wysokość CPU coolera       170 mm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  <w:color w:val="00000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Wykonana z metalu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NIE SPEŁNIA</w:t>
            </w:r>
          </w:p>
        </w:tc>
      </w:tr>
      <w:tr>
        <w:trPr>
          <w:trHeight w:val="510" w:hRule="atLeast"/>
        </w:trPr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ascii="Arial" w:hAnsi="Arial" w:eastAsia="Calibri" w:cs="Arial"/>
                <w:b/>
                <w:color w:val="000000"/>
                <w:sz w:val="20"/>
                <w:szCs w:val="20"/>
              </w:rPr>
            </w:pPr>
            <w:r>
              <w:rPr>
                <w:rFonts w:eastAsia="Calibri" w:cs="Arial" w:ascii="Arial" w:hAnsi="Arial"/>
                <w:b/>
                <w:color w:val="000000"/>
                <w:sz w:val="20"/>
                <w:szCs w:val="20"/>
              </w:rPr>
              <w:t>System operacyjny: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/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Windows 11 Professional PL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OEM 64 bity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zainstalowany na dysku SSD 1TB, z zainstalowanymi aktualizacjami dostępnymi na dzień instalacji systemu.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Dodatkowo Zamawiający wymaga fabrycznie nowego systemu operacyjnego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(nieużywanego nigdy wcześnie) w wersji z oryginalnym nośnikiem producenta oraz certyfikatem autentyczności (COA) dla każdej licencji. Każdy komputer ma posiadać naklejkę hologramową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(zabezpieczoną przed możliwością odczytania klucza za pomocą zabezpieczeń stosowanych przez producenta) potwierdzającą oryginalność</w:t>
            </w:r>
          </w:p>
          <w:p>
            <w:pPr>
              <w:pStyle w:val="Normal"/>
              <w:widowControl w:val="false"/>
              <w:spacing w:lineRule="auto" w:line="240" w:before="0" w:after="0"/>
              <w:ind w:start="17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zainstalowanego systemu operacyjnego oraz pełny pakiet OEM (koperta z nadrukiem, płyta DVD z obrazem systemu wraz z hologramem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systemu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color w:val="FF0000"/>
                <w:sz w:val="20"/>
                <w:szCs w:val="20"/>
              </w:rPr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  <w:b/>
                <w:color w:val="00000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Oprogramowanie: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 xml:space="preserve">MS Office LTSC Standard 2024  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– licencja  dla instytucji non-profit</w:t>
            </w: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Licencja </w:t>
            </w: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musi być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fabrycznie nowa</w:t>
            </w:r>
            <w:r>
              <w:rPr>
                <w:rFonts w:cs="Arial" w:ascii="Arial" w:hAnsi="Arial"/>
                <w:color w:val="000000"/>
                <w:sz w:val="20"/>
                <w:szCs w:val="20"/>
              </w:rPr>
              <w:t>, nigdy wcześniej nie aktywowana i podłączona do portalu licencyjnego.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Zamawiającego (dane zostaną przekazane Wykonawcy,</w:t>
            </w:r>
            <w:r>
              <w:rPr>
                <w:rFonts w:ascii="Arial" w:hAnsi="Arial"/>
                <w:sz w:val="20"/>
                <w:szCs w:val="20"/>
              </w:rPr>
              <w:t xml:space="preserve"> z którym zostanie zawarta umowa).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oprogramowania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  <w:t>NIE SPEŁNIA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"/>
              </w:numPr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eastAsia="Calibri" w:cs="Arial"/>
                <w:b/>
                <w:color w:val="000000"/>
              </w:rPr>
            </w:pPr>
            <w:r>
              <w:rPr>
                <w:rFonts w:eastAsia="Calibri" w:cs="Arial" w:ascii="Arial" w:hAnsi="Arial"/>
                <w:b/>
                <w:color w:val="000000"/>
                <w:sz w:val="20"/>
                <w:szCs w:val="20"/>
              </w:rPr>
              <w:t>Monitor: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Rozmiar matrycy:</w:t>
            </w:r>
            <w:r>
              <w:rPr>
                <w:rFonts w:cs="Arial" w:ascii="Arial" w:hAnsi="Arial"/>
                <w:sz w:val="20"/>
                <w:szCs w:val="20"/>
              </w:rPr>
              <w:t xml:space="preserve">  26,9’’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Typ matrycy: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- IPS z podświetleniem LED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- powłoka przeciwodblaskowa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- 16:9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- jasność min. 500cd/m</w:t>
            </w:r>
            <w:r>
              <w:rPr>
                <w:rFonts w:cs="Arial" w:ascii="Arial" w:hAnsi="Arial"/>
                <w:sz w:val="20"/>
                <w:szCs w:val="20"/>
                <w:vertAlign w:val="superscript"/>
              </w:rPr>
              <w:t>2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- kontraście 1450:1</w:t>
            </w:r>
          </w:p>
          <w:p>
            <w:pPr>
              <w:pStyle w:val="Normal"/>
              <w:widowControl w:val="false"/>
              <w:spacing w:lineRule="auto" w:line="240" w:before="0" w:after="0"/>
              <w:ind w:start="30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Rozdzielczość:</w:t>
            </w:r>
          </w:p>
          <w:p>
            <w:pPr>
              <w:pStyle w:val="Normal"/>
              <w:widowControl w:val="false"/>
              <w:spacing w:lineRule="auto" w:line="240" w:before="0" w:after="0"/>
              <w:ind w:start="-32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- natywna rozdzielczość ekranu  min. 3840x2160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- plamka 0.155mm@min. 164ppi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Paleta kolorów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: </w:t>
            </w:r>
            <w:r>
              <w:rPr>
                <w:rFonts w:cs="Arial" w:ascii="Arial" w:hAnsi="Arial"/>
                <w:sz w:val="20"/>
                <w:szCs w:val="20"/>
              </w:rPr>
              <w:t>min.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1.07mld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  <w:u w:val="single"/>
              </w:rPr>
              <w:t>Odwzorowanie przestrzeni barw:</w:t>
            </w:r>
            <w:r>
              <w:rPr>
                <w:rFonts w:cs="Arial" w:ascii="Arial" w:hAnsi="Arial"/>
                <w:sz w:val="20"/>
                <w:szCs w:val="20"/>
              </w:rPr>
              <w:t xml:space="preserve"> Adobe RGB 99%, DCI-P3 98%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Kąty widzenia poziom/pion</w:t>
            </w:r>
            <w:r>
              <w:rPr>
                <w:rFonts w:cs="Arial" w:ascii="Arial" w:hAnsi="Arial"/>
                <w:sz w:val="20"/>
                <w:szCs w:val="20"/>
              </w:rPr>
              <w:t>: min. 178 st.</w:t>
            </w:r>
          </w:p>
          <w:p>
            <w:pPr>
              <w:pStyle w:val="Normal"/>
              <w:widowControl w:val="false"/>
              <w:spacing w:lineRule="auto" w:line="240" w:before="0" w:after="0"/>
              <w:ind w:start="30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Fabrycznie zintegrowane (wbudowane) porty i interfejsy m.in.: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  <w:lang w:val="de-AT"/>
              </w:rPr>
            </w:pPr>
            <w:r>
              <w:rPr>
                <w:rFonts w:cs="Arial" w:ascii="Arial" w:hAnsi="Arial"/>
                <w:sz w:val="20"/>
                <w:szCs w:val="20"/>
                <w:lang w:val="de-AT"/>
              </w:rPr>
              <w:t>min. 1 port DP (HDCP 2.3)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  <w:lang w:val="de-AT"/>
              </w:rPr>
            </w:pPr>
            <w:r>
              <w:rPr>
                <w:rFonts w:cs="Arial" w:ascii="Arial" w:hAnsi="Arial"/>
                <w:sz w:val="20"/>
                <w:szCs w:val="20"/>
                <w:lang w:val="de-AT"/>
              </w:rPr>
              <w:t>min. 1 port HDMI (HDCP 2.3)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min. 1 port USB 3.2 gen1 do wysyłania danych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min. 2 porty USB 3.2 gen1 i 2 porty USB 2.0 do odbioru danych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min. 1 port USB 3.2 Typ-C gen1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Urządzenia wbudowane: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Koncentrator USB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Port LAN RJ45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Czas reakcji matrycy: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 </w:t>
            </w:r>
            <w:r>
              <w:rPr>
                <w:rFonts w:cs="Arial" w:ascii="Arial" w:hAnsi="Arial"/>
                <w:sz w:val="20"/>
                <w:szCs w:val="20"/>
              </w:rPr>
              <w:t xml:space="preserve"> 13ms GTG</w:t>
            </w:r>
          </w:p>
          <w:tbl>
            <w:tblPr>
              <w:tblW w:w="9386" w:type="dxa"/>
              <w:jc w:val="start"/>
              <w:tblInd w:w="110" w:type="dxa"/>
              <w:tblLayout w:type="fixed"/>
              <w:tblCellMar>
                <w:top w:w="15" w:type="dxa"/>
                <w:start w:w="15" w:type="dxa"/>
                <w:bottom w:w="15" w:type="dxa"/>
                <w:end w:w="15" w:type="dxa"/>
              </w:tblCellMar>
              <w:tblLook w:firstRow="1" w:noVBand="1" w:lastRow="0" w:firstColumn="1" w:lastColumn="0" w:noHBand="0" w:val="04a0"/>
            </w:tblPr>
            <w:tblGrid>
              <w:gridCol w:w="5503"/>
              <w:gridCol w:w="3883"/>
            </w:tblGrid>
            <w:tr>
              <w:trPr/>
              <w:tc>
                <w:tcPr>
                  <w:tcW w:w="5503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eastAsia="SimSun" w:cs="Arial"/>
                      <w:b/>
                      <w:kern w:val="2"/>
                      <w:lang w:eastAsia="zh-CN" w:bidi="hi-IN"/>
                    </w:rPr>
                  </w:pPr>
                  <w:r>
                    <w:rPr>
                      <w:rFonts w:eastAsia="SimSun" w:cs="Arial" w:ascii="Arial" w:hAnsi="Arial"/>
                      <w:b/>
                      <w:kern w:val="2"/>
                      <w:sz w:val="20"/>
                      <w:szCs w:val="20"/>
                      <w:lang w:eastAsia="zh-CN" w:bidi="hi-IN"/>
                    </w:rPr>
                    <w:t>Wymagania dodatkowe:</w:t>
                  </w:r>
                </w:p>
                <w:p>
                  <w:pPr>
                    <w:pStyle w:val="ListParagraph"/>
                    <w:widowControl w:val="false"/>
                    <w:numPr>
                      <w:ilvl w:val="0"/>
                      <w:numId w:val="4"/>
                    </w:numPr>
                    <w:ind w:hanging="0" w:start="720"/>
                    <w:rPr>
                      <w:rFonts w:cs="Arial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Podstawa o regulowanej wysokości</w:t>
                  </w:r>
                </w:p>
                <w:p>
                  <w:pPr>
                    <w:pStyle w:val="ListParagraph"/>
                    <w:widowControl w:val="false"/>
                    <w:numPr>
                      <w:ilvl w:val="0"/>
                      <w:numId w:val="4"/>
                    </w:numPr>
                    <w:ind w:hanging="0" w:start="720"/>
                    <w:rPr>
                      <w:rFonts w:cs="Arial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Pochylenie</w:t>
                  </w:r>
                </w:p>
                <w:p>
                  <w:pPr>
                    <w:pStyle w:val="ListParagraph"/>
                    <w:widowControl w:val="false"/>
                    <w:numPr>
                      <w:ilvl w:val="0"/>
                      <w:numId w:val="4"/>
                    </w:numPr>
                    <w:ind w:hanging="0" w:start="720"/>
                    <w:rPr>
                      <w:rFonts w:cs="Arial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Obracanie w poziomie</w:t>
                  </w:r>
                </w:p>
                <w:p>
                  <w:pPr>
                    <w:pStyle w:val="ListParagraph"/>
                    <w:widowControl w:val="false"/>
                    <w:numPr>
                      <w:ilvl w:val="0"/>
                      <w:numId w:val="4"/>
                    </w:numPr>
                    <w:ind w:hanging="0" w:start="720"/>
                    <w:rPr>
                      <w:rFonts w:cs="Arial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Obracanie w pionie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cs="Arial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Wbudowany kalibrator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cs="Arial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Stabilizacja jasności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cs="Arial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Cyfrowy korektor jednorodności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Pierwsza kalibracja w cenie monitora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</w:r>
                </w:p>
              </w:tc>
              <w:tc>
                <w:tcPr>
                  <w:tcW w:w="3883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cs="Arial"/>
                <w:b/>
                <w:u w:val="single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Wyposażenie fabryczne: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Przewód zasilający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1 kabel USB do wysyłania danych (zapewnia działanie portu USB monitora)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Certyfikat fabrycznej kalibracji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cs="Arial"/>
              </w:rPr>
            </w:pPr>
            <w:r>
              <w:rPr>
                <w:rFonts w:cs="Arial" w:ascii="Arial" w:hAnsi="Arial"/>
                <w:sz w:val="20"/>
                <w:szCs w:val="20"/>
              </w:rPr>
              <w:t>Kaptur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</w:t>
            </w:r>
            <w:bookmarkStart w:id="3" w:name="_Hlk209076993"/>
            <w:bookmarkStart w:id="4" w:name="_Hlk59429758"/>
            <w:bookmarkStart w:id="5" w:name="_Hlk193281787"/>
            <w:bookmarkEnd w:id="3"/>
            <w:bookmarkEnd w:id="4"/>
            <w:bookmarkEnd w:id="5"/>
            <w:r>
              <w:rPr>
                <w:rFonts w:cs="Arial" w:ascii="Arial" w:hAnsi="Arial"/>
                <w:sz w:val="20"/>
                <w:szCs w:val="20"/>
              </w:rPr>
              <w:t>A</w:t>
            </w:r>
          </w:p>
        </w:tc>
      </w:tr>
    </w:tbl>
    <w:p>
      <w:pPr>
        <w:pStyle w:val="FootnoteText"/>
        <w:spacing w:lineRule="auto" w:line="276" w:before="113" w:after="113"/>
        <w:ind w:start="1440"/>
        <w:jc w:val="center"/>
        <w:rPr>
          <w:rFonts w:ascii="Arial" w:hAnsi="Arial"/>
          <w:b/>
          <w:bCs/>
          <w:szCs w:val="22"/>
        </w:rPr>
      </w:pPr>
      <w:r>
        <w:rPr>
          <w:rFonts w:ascii="Arial" w:hAnsi="Arial"/>
          <w:b/>
          <w:bCs/>
          <w:szCs w:val="22"/>
        </w:rPr>
      </w:r>
    </w:p>
    <w:p>
      <w:pPr>
        <w:pStyle w:val="FootnoteText"/>
        <w:spacing w:lineRule="auto" w:line="276" w:before="113" w:after="113"/>
        <w:ind w:start="1440"/>
        <w:jc w:val="center"/>
        <w:rPr>
          <w:rFonts w:ascii="Arial" w:hAnsi="Arial"/>
          <w:b/>
          <w:bCs/>
          <w:szCs w:val="22"/>
        </w:rPr>
      </w:pPr>
      <w:r>
        <w:rPr>
          <w:rFonts w:ascii="Arial" w:hAnsi="Arial"/>
          <w:b/>
          <w:bCs/>
          <w:szCs w:val="22"/>
        </w:rPr>
      </w:r>
    </w:p>
    <w:p>
      <w:pPr>
        <w:pStyle w:val="FootnoteText"/>
        <w:spacing w:lineRule="auto" w:line="276" w:before="113" w:after="113"/>
        <w:ind w:start="1440"/>
        <w:jc w:val="center"/>
        <w:rPr>
          <w:rFonts w:ascii="Arial" w:hAnsi="Arial"/>
          <w:b/>
          <w:bCs/>
          <w:szCs w:val="22"/>
        </w:rPr>
      </w:pPr>
      <w:r>
        <w:rPr>
          <w:rFonts w:ascii="Arial" w:hAnsi="Arial"/>
          <w:b/>
          <w:bCs/>
          <w:szCs w:val="22"/>
        </w:rPr>
      </w:r>
      <w:r>
        <w:br w:type="page"/>
      </w:r>
    </w:p>
    <w:p>
      <w:pPr>
        <w:pStyle w:val="Heading1"/>
        <w:spacing w:before="0" w:after="0"/>
        <w:rPr>
          <w:rFonts w:ascii="Calibri" w:hAnsi="Calibri" w:cs="" w:asciiTheme="minorHAnsi" w:cstheme="minorBidi" w:hAnsiTheme="minorHAnsi"/>
          <w:sz w:val="22"/>
          <w:szCs w:val="22"/>
        </w:rPr>
      </w:pPr>
      <w:r>
        <w:rPr>
          <w:b/>
        </w:rPr>
        <w:t>Poz.2</w:t>
      </w:r>
      <w:r>
        <w:rPr/>
        <w:t xml:space="preserve">. </w:t>
      </w:r>
      <w:r>
        <w:rPr>
          <w:b/>
          <w:sz w:val="28"/>
        </w:rPr>
        <w:t>ZESTAW KLAWIATURA + MYSZ (BEZPRZEWODOWY</w:t>
      </w:r>
      <w:r>
        <w:rPr/>
        <w:t>)-3 SZTUKI</w:t>
      </w:r>
    </w:p>
    <w:p>
      <w:pPr>
        <w:pStyle w:val="Normal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10750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04"/>
        <w:gridCol w:w="5022"/>
        <w:gridCol w:w="5024"/>
      </w:tblGrid>
      <w:tr>
        <w:trPr/>
        <w:tc>
          <w:tcPr>
            <w:tcW w:w="70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160"/>
              <w:ind w:start="284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502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Łączność bezprzewodowa realizowana w technologii Bluetooth lub równoważnej, z możliwością jednoczesnego sparowania i przełączania pomiędzy min. 3 urządzeniami końcowymi.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Kompatybilność z systemami operacyjnymi: Windows, macOS, Linux lub równoważnymi.</w:t>
            </w:r>
          </w:p>
          <w:p>
            <w:pPr>
              <w:pStyle w:val="Normal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Klawiatura: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Niskoprofilowa klawiatura membranowa lub nożycowa.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Układ klawiszy pełnowymiarowy, z blokiem numerycznym.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Klawisze o cichym skoku, profilowane ergonomicznie.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Podświetlenie klawiszy z automatyczną regulacją jasności w zależności od warunków oświetleniowych.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Zasilanie akumulatorowe, ładowanie przez złącze USB-C lub równoważne.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Czas pracy na jednym ładowaniu: min. 7 dni z włączonym podświetleniem lub min. 30 dni bez podświetlenia.</w:t>
            </w:r>
          </w:p>
          <w:p>
            <w:pPr>
              <w:pStyle w:val="Normal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Mysz: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Bezprzewodowa mysz optyczna lub laserowa.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Rozdzielczość sensora regulowana, min. 4000 DPI.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Kółko przewijania z trybem precyzyjnym oraz szybkim (swobodnym) przewijaniem.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Min. 5 programowalnych przycisków.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Ergonomiczny kształt dostosowany do długotrwałej pracy.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Zasilanie akumulatorowe, ładowanie przez USB-C lub równoważne.</w:t>
            </w:r>
          </w:p>
          <w:p>
            <w:pPr>
              <w:pStyle w:val="Normal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cs="Arial" w:ascii="Arial" w:hAnsi="Arial"/>
                <w:i/>
                <w:sz w:val="20"/>
                <w:szCs w:val="20"/>
              </w:rPr>
              <w:t>Wymagania dodatkowe: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Możliwość konfiguracji funkcji klawiszy i przycisków za pomocą oprogramowania producenta lub rozwiązania równoważnego.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Produkt fabrycznie nowy, nieużywany.</w:t>
            </w:r>
          </w:p>
          <w:p>
            <w:pPr>
              <w:pStyle w:val="Normal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Oryginalne opakowanie producenta.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59" w:before="0" w:after="160"/>
              <w:jc w:val="start"/>
              <w:rPr/>
            </w:pPr>
            <w:r>
              <w:rPr>
                <w:rFonts w:cs="Arial" w:ascii="Arial" w:hAnsi="Arial"/>
                <w:sz w:val="20"/>
                <w:szCs w:val="20"/>
              </w:rPr>
              <w:t>Gwarancja: min. 12 miesięcy.</w:t>
            </w:r>
          </w:p>
        </w:tc>
        <w:tc>
          <w:tcPr>
            <w:tcW w:w="50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eastAsia="Calibri" w:cs="Arial" w:ascii="Arial" w:hAnsi="Arial"/>
                <w:b/>
                <w:sz w:val="20"/>
                <w:szCs w:val="20"/>
              </w:rPr>
              <w:t>Nazwa oferowanego urządzenia</w:t>
            </w:r>
            <w:r>
              <w:rPr>
                <w:rFonts w:eastAsia="Calibri" w:cs="Arial" w:ascii="Arial" w:hAnsi="Arial"/>
                <w:sz w:val="20"/>
                <w:szCs w:val="20"/>
              </w:rPr>
              <w:t>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Producent/firma: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...…………………………………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Typ: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 xml:space="preserve"> ……………………………………………………………</w:t>
            </w:r>
            <w:r>
              <w:rPr>
                <w:rFonts w:eastAsia="Calibri" w:cs="Arial" w:ascii="Arial" w:hAnsi="Arial"/>
                <w:sz w:val="20"/>
                <w:szCs w:val="20"/>
              </w:rPr>
              <w:t>..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Model oznaczenia: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eastAsia="Calibri" w:cs="Arial" w:ascii="Arial" w:hAnsi="Arial"/>
                <w:sz w:val="20"/>
                <w:szCs w:val="20"/>
              </w:rPr>
              <w:t>..……………...……………………………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/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NIE SPEŁNIA</w:t>
            </w:r>
          </w:p>
        </w:tc>
      </w:tr>
    </w:tbl>
    <w:p>
      <w:pPr>
        <w:pStyle w:val="FootnoteText"/>
        <w:spacing w:lineRule="auto" w:line="276" w:before="113" w:after="113"/>
        <w:ind w:start="1440"/>
        <w:jc w:val="center"/>
        <w:rPr>
          <w:rFonts w:ascii="Arial" w:hAnsi="Arial"/>
          <w:b/>
          <w:bCs/>
          <w:szCs w:val="22"/>
        </w:rPr>
      </w:pPr>
      <w:r>
        <w:rPr>
          <w:rFonts w:ascii="Arial" w:hAnsi="Arial"/>
          <w:b/>
          <w:bCs/>
          <w:szCs w:val="22"/>
        </w:rPr>
      </w:r>
    </w:p>
    <w:p>
      <w:pPr>
        <w:pStyle w:val="FootnoteText"/>
        <w:spacing w:lineRule="auto" w:line="276" w:before="113" w:after="113"/>
        <w:ind w:start="1440"/>
        <w:jc w:val="center"/>
        <w:rPr>
          <w:rFonts w:ascii="Arial" w:hAnsi="Arial"/>
          <w:b/>
          <w:bCs/>
          <w:szCs w:val="22"/>
        </w:rPr>
      </w:pPr>
      <w:r>
        <w:rPr>
          <w:rFonts w:ascii="Arial" w:hAnsi="Arial"/>
          <w:b/>
          <w:bCs/>
          <w:szCs w:val="22"/>
        </w:rPr>
      </w:r>
    </w:p>
    <w:p>
      <w:pPr>
        <w:pStyle w:val="FootnoteText"/>
        <w:spacing w:lineRule="auto" w:line="276" w:before="113" w:after="113"/>
        <w:ind w:start="1440"/>
        <w:jc w:val="center"/>
        <w:rPr>
          <w:rFonts w:ascii="Arial" w:hAnsi="Arial"/>
          <w:b/>
          <w:bCs/>
          <w:szCs w:val="22"/>
        </w:rPr>
      </w:pPr>
      <w:r>
        <w:rPr>
          <w:rFonts w:cs="Times New Roman"/>
          <w:b/>
          <w:bCs/>
          <w:i/>
          <w:iCs/>
          <w:color w:val="0000FF"/>
          <w:szCs w:val="22"/>
        </w:rPr>
        <w:t xml:space="preserve">Dokument należy podpisać kwalifikowanym podpisem elektronicznym  </w:t>
        <w:br/>
        <w:t>lub pod</w:t>
      </w:r>
      <w:bookmarkStart w:id="6" w:name="_GoBack_kopia_1"/>
      <w:bookmarkEnd w:id="6"/>
      <w:r>
        <w:rPr>
          <w:rFonts w:cs="Times New Roman"/>
          <w:b/>
          <w:bCs/>
          <w:i/>
          <w:iCs/>
          <w:color w:val="0000FF"/>
          <w:szCs w:val="22"/>
        </w:rPr>
        <w:t xml:space="preserve">pisem zaufanym  lub podpisem osobistym </w:t>
        <w:br/>
        <w:t>przez osobę/osoby upoważnioną/e do występowania w imieniu Wykonawcy.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426" w:top="1666" w:footer="147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 Light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alibri">
    <w:charset w:val="ee" w:characterSet="windows-125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27606618"/>
    </w:sdtPr>
    <w:sdtContent>
      <w:p>
        <w:pPr>
          <w:pStyle w:val="Normal"/>
          <w:spacing w:lineRule="auto" w:line="276"/>
          <w:rPr>
            <w:rFonts w:cs="Calibri" w:cstheme="minorHAnsi"/>
            <w:color w:themeColor="text1" w:val="000000"/>
            <w:sz w:val="16"/>
            <w:szCs w:val="16"/>
          </w:rPr>
        </w:pPr>
        <w:r>
          <w:rPr>
            <w:rFonts w:cs="Calibri" w:cstheme="minorHAnsi"/>
            <w:color w:themeColor="text1" w:val="000000"/>
            <w:sz w:val="16"/>
            <w:szCs w:val="16"/>
          </w:rPr>
          <w:t>Projekt www.muzeach 2.0</w:t>
          <w:br/>
          <w:t>Dofinansowano przez Unię Europejską</w:t>
          <w:br/>
          <w:t>Dofinansowano ze środków Ministra Kultury i Dziedzictwa Narodowego</w:t>
          <w:br/>
          <w:t>Beneficjent: Muzeum Pałacu Króla Jana III w Wilanowie</w:t>
          <w:br/>
          <w:t>Partnerzy: Muzeum Narodowe w Kielcach, Muzeum Narodowe w Lublinie,</w:t>
          <w:br/>
          <w:t>Muzeum Narodowe w Poznaniu, Muzeum Zamkowe w Malborku</w:t>
        </w:r>
      </w:p>
      <w:p>
        <w:pPr>
          <w:pStyle w:val="Footer"/>
          <w:jc w:val="end"/>
          <w:rPr/>
        </w:pPr>
        <w:r>
          <w:rPr/>
        </w:r>
      </w:p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27606618"/>
    </w:sdtPr>
    <w:sdtContent>
      <w:p>
        <w:pPr>
          <w:pStyle w:val="Normal"/>
          <w:spacing w:lineRule="auto" w:line="276"/>
          <w:rPr>
            <w:rFonts w:cs="Calibri" w:cstheme="minorHAnsi"/>
            <w:color w:themeColor="text1" w:val="000000"/>
            <w:sz w:val="16"/>
            <w:szCs w:val="16"/>
          </w:rPr>
        </w:pPr>
        <w:r>
          <w:rPr>
            <w:rFonts w:cs="Calibri" w:cstheme="minorHAnsi"/>
            <w:color w:themeColor="text1" w:val="000000"/>
            <w:sz w:val="16"/>
            <w:szCs w:val="16"/>
          </w:rPr>
          <w:t>Projekt www.muzeach 2.0</w:t>
          <w:br/>
          <w:t>Dofinansowano przez Unię Europejską</w:t>
          <w:br/>
          <w:t>Dofinansowano ze środków Ministra Kultury i Dziedzictwa Narodowego</w:t>
          <w:br/>
          <w:t>Beneficjent: Muzeum Pałacu Króla Jana III w Wilanowie</w:t>
          <w:br/>
          <w:t>Partnerzy: Muzeum Narodowe w Kielcach, Muzeum Narodowe w Lublinie,</w:t>
          <w:br/>
          <w:t>Muzeum Narodowe w Poznaniu, Muzeum Zamkowe w Malborku</w:t>
        </w:r>
      </w:p>
      <w:p>
        <w:pPr>
          <w:pStyle w:val="Footer"/>
          <w:jc w:val="end"/>
          <w:rPr/>
        </w:pPr>
        <w:r>
          <w:rPr/>
        </w:r>
      </w:p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i/>
      </w:rPr>
    </w:pPr>
    <w:r>
      <w:rPr/>
      <w:drawing>
        <wp:inline distT="0" distB="0" distL="0" distR="0">
          <wp:extent cx="5759450" cy="1311910"/>
          <wp:effectExtent l="0" t="0" r="0" b="0"/>
          <wp:docPr id="1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311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 xml:space="preserve"> </w:t>
    </w:r>
    <w:r>
      <w:rPr>
        <w:u w:val="single"/>
      </w:rPr>
      <w:t xml:space="preserve">Załącznik nr 1 – Część 3 </w:t>
    </w:r>
    <w:r>
      <w:rPr>
        <w:i/>
        <w:u w:val="single"/>
      </w:rPr>
      <w:t>Opis przedmiotu zamówienia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i/>
      </w:rPr>
    </w:pPr>
    <w:r>
      <w:rPr/>
      <w:drawing>
        <wp:inline distT="0" distB="0" distL="0" distR="0">
          <wp:extent cx="5759450" cy="1311910"/>
          <wp:effectExtent l="0" t="0" r="0" b="0"/>
          <wp:docPr id="2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311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/>
      <w:t xml:space="preserve"> </w:t>
    </w:r>
    <w:r>
      <w:rPr>
        <w:u w:val="single"/>
      </w:rPr>
      <w:t xml:space="preserve">Załącznik nr 1 – Część 3 </w:t>
    </w:r>
    <w:r>
      <w:rPr>
        <w:i/>
        <w:u w:val="single"/>
      </w:rPr>
      <w:t>Opis przedmiotu zamówienia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644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2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0"/>
        </w:tabs>
        <w:ind w:start="75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9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9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5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51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trackRevisions/>
  <w:defaultTabStop w:val="284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uiPriority w:val="9"/>
    <w:qFormat/>
    <w:rsid w:val="0074630e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paragraph" w:styleId="Heading2">
    <w:name w:val="heading 2"/>
    <w:basedOn w:val="Normal"/>
    <w:link w:val="Nagwek2Znak"/>
    <w:uiPriority w:val="9"/>
    <w:qFormat/>
    <w:rsid w:val="00733ec6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2b6304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rsid w:val="001739dd"/>
    <w:rPr>
      <w:rFonts w:cs="Times New Roman"/>
      <w:color w:val="0000FF"/>
      <w:u w:val="single"/>
    </w:rPr>
  </w:style>
  <w:style w:type="character" w:styleId="Nagwek2Znak" w:customStyle="1">
    <w:name w:val="Nagłówek 2 Znak"/>
    <w:basedOn w:val="DefaultParagraphFont"/>
    <w:uiPriority w:val="9"/>
    <w:qFormat/>
    <w:rsid w:val="00733ec6"/>
    <w:rPr>
      <w:rFonts w:ascii="Times New Roman" w:hAnsi="Times New Roman" w:eastAsia="Times New Roman" w:cs="Times New Roman"/>
      <w:b/>
      <w:bCs/>
      <w:sz w:val="36"/>
      <w:szCs w:val="36"/>
      <w:lang w:eastAsia="pl-PL"/>
    </w:rPr>
  </w:style>
  <w:style w:type="character" w:styleId="Nagwek1Znak" w:customStyle="1">
    <w:name w:val="Nagłówek 1 Znak"/>
    <w:basedOn w:val="DefaultParagraphFont"/>
    <w:uiPriority w:val="9"/>
    <w:qFormat/>
    <w:rsid w:val="0074630e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32"/>
      <w:szCs w:val="32"/>
    </w:rPr>
  </w:style>
  <w:style w:type="character" w:styleId="NagwekZnak" w:customStyle="1">
    <w:name w:val="Nagłówek Znak"/>
    <w:basedOn w:val="DefaultParagraphFont"/>
    <w:uiPriority w:val="99"/>
    <w:qFormat/>
    <w:rsid w:val="009e522e"/>
    <w:rPr/>
  </w:style>
  <w:style w:type="character" w:styleId="StopkaZnak" w:customStyle="1">
    <w:name w:val="Stopka Znak"/>
    <w:basedOn w:val="DefaultParagraphFont"/>
    <w:uiPriority w:val="99"/>
    <w:qFormat/>
    <w:rsid w:val="009e522e"/>
    <w:rPr/>
  </w:style>
  <w:style w:type="character" w:styleId="TytuZnak" w:customStyle="1">
    <w:name w:val="Tytuł Znak"/>
    <w:basedOn w:val="DefaultParagraphFont"/>
    <w:uiPriority w:val="10"/>
    <w:qFormat/>
    <w:rsid w:val="009e522e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c0566"/>
    <w:rPr>
      <w:rFonts w:ascii="Segoe UI" w:hAnsi="Segoe UI" w:cs="Segoe UI"/>
      <w:sz w:val="18"/>
      <w:szCs w:val="18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dd74ba"/>
    <w:rPr>
      <w:b/>
      <w:bCs/>
      <w:sz w:val="20"/>
      <w:szCs w:val="20"/>
    </w:rPr>
  </w:style>
  <w:style w:type="character" w:styleId="Nagwek3Znak" w:customStyle="1">
    <w:name w:val="Nagłówek 3 Znak"/>
    <w:basedOn w:val="DefaultParagraphFont"/>
    <w:uiPriority w:val="9"/>
    <w:semiHidden/>
    <w:qFormat/>
    <w:rsid w:val="002b6304"/>
    <w:rPr>
      <w:rFonts w:ascii="Calibri Light" w:hAnsi="Calibri Light" w:eastAsia="" w:cs="" w:asciiTheme="majorHAnsi" w:cstheme="majorBidi" w:eastAsiaTheme="majorEastAsia" w:hAnsiTheme="majorHAnsi"/>
      <w:color w:themeColor="accent1" w:themeShade="7f" w:val="1F4D78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f83531"/>
    <w:rPr>
      <w:i/>
      <w:iCs/>
    </w:rPr>
  </w:style>
  <w:style w:type="character" w:styleId="t286pc" w:customStyle="1">
    <w:name w:val="t286pc"/>
    <w:basedOn w:val="DefaultParagraphFont"/>
    <w:qFormat/>
    <w:rsid w:val="0068437b"/>
    <w:rPr/>
  </w:style>
  <w:style w:type="character" w:styleId="Strong">
    <w:name w:val="Strong"/>
    <w:basedOn w:val="DefaultParagraphFont"/>
    <w:uiPriority w:val="22"/>
    <w:qFormat/>
    <w:rsid w:val="0068437b"/>
    <w:rPr>
      <w:b/>
      <w:bCs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uiPriority w:val="99"/>
    <w:semiHidden/>
    <w:unhideWhenUsed/>
    <w:rsid w:val="00976fbb"/>
    <w:pPr>
      <w:spacing w:lineRule="auto" w:line="240" w:before="0" w:after="0"/>
      <w:ind w:hanging="283" w:start="283"/>
      <w:contextualSpacing/>
    </w:pPr>
    <w:rPr>
      <w:rFonts w:ascii="Arial" w:hAnsi="Arial" w:eastAsia="Times New Roman" w:cs="Arial"/>
      <w:sz w:val="24"/>
      <w:szCs w:val="24"/>
      <w:lang w:eastAsia="pl-P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1" w:customStyle="1">
    <w:name w:val="Nagłówek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9e522e"/>
    <w:pPr>
      <w:tabs>
        <w:tab w:val="clear" w:pos="284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1739dd"/>
    <w:pPr>
      <w:spacing w:lineRule="auto" w:line="240" w:before="0" w:after="0"/>
      <w:ind w:start="720"/>
    </w:pPr>
    <w:rPr>
      <w:rFonts w:ascii="Calibri" w:hAnsi="Calibri" w:eastAsia="Times New Roman" w:cs="Times New Roman"/>
    </w:rPr>
  </w:style>
  <w:style w:type="paragraph" w:styleId="Footer">
    <w:name w:val="footer"/>
    <w:basedOn w:val="Normal"/>
    <w:link w:val="StopkaZnak"/>
    <w:uiPriority w:val="99"/>
    <w:unhideWhenUsed/>
    <w:rsid w:val="009e522e"/>
    <w:pPr>
      <w:tabs>
        <w:tab w:val="clear" w:pos="284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1"/>
    <w:qFormat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e522e"/>
    <w:pPr>
      <w:outlineLvl w:val="9"/>
    </w:pPr>
    <w:rPr>
      <w:lang w:eastAsia="pl-PL"/>
    </w:rPr>
  </w:style>
  <w:style w:type="paragraph" w:styleId="TOC1">
    <w:name w:val="toc 1"/>
    <w:basedOn w:val="Normal"/>
    <w:next w:val="Normal"/>
    <w:autoRedefine/>
    <w:uiPriority w:val="39"/>
    <w:unhideWhenUsed/>
    <w:rsid w:val="009e522e"/>
    <w:pPr>
      <w:spacing w:before="0" w:after="100"/>
    </w:pPr>
    <w:rPr/>
  </w:style>
  <w:style w:type="paragraph" w:styleId="Title">
    <w:name w:val="Title"/>
    <w:basedOn w:val="Normal"/>
    <w:next w:val="Normal"/>
    <w:link w:val="TytuZnak"/>
    <w:uiPriority w:val="10"/>
    <w:qFormat/>
    <w:rsid w:val="009e522e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Komentarzuser" w:customStyle="1">
    <w:name w:val="Komentarz (user)"/>
    <w:basedOn w:val="Normal"/>
    <w:qFormat/>
    <w:pPr>
      <w:spacing w:lineRule="auto" w:line="240" w:before="56" w:after="0"/>
      <w:ind w:start="57" w:end="57"/>
    </w:pPr>
    <w:rPr>
      <w:sz w:val="20"/>
      <w:szCs w:val="20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Cs w:val="20"/>
    </w:rPr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c0566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dd74ba"/>
    <w:pPr/>
    <w:rPr>
      <w:b/>
      <w:bCs/>
    </w:rPr>
  </w:style>
  <w:style w:type="paragraph" w:styleId="Komentarz" w:customStyle="1">
    <w:name w:val="Komentarz"/>
    <w:basedOn w:val="Normal"/>
    <w:qFormat/>
    <w:pPr>
      <w:spacing w:lineRule="auto" w:line="240" w:before="56" w:after="0"/>
      <w:ind w:start="57" w:end="57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92316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63998-D9DE-4769-A633-3476E306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LibreOffice/25.8.4.2$Windows_X86_64 LibreOffice_project/290daaa01b999472f0c7a3890eb6a550fd74c6df</Application>
  <AppVersion>15.0000</AppVersion>
  <Pages>3</Pages>
  <Words>1625</Words>
  <Characters>11213</Characters>
  <CharactersWithSpaces>12603</CharactersWithSpaces>
  <Paragraphs>341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2026-02-20T07:29:00Z</dcterms:created>
  <dc:creator>Janusz S</dc:creator>
  <dc:description/>
  <dc:language>pl-PL</dc:language>
  <cp:lastModifiedBy>Janusz S</cp:lastModifiedBy>
  <dcterms:modified xsi:type="dcterms:W3CDTF">2026-02-20T09:37:00Z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